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50" w:rsidRPr="00511B90" w:rsidRDefault="00D20D1E" w:rsidP="006E4450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color w:val="000000"/>
          <w:sz w:val="26"/>
          <w:szCs w:val="26"/>
          <w:lang w:val="uz-Cyrl-UZ"/>
        </w:rPr>
      </w:pPr>
      <w:r w:rsidRPr="00D20D1E">
        <w:rPr>
          <w:b/>
          <w:color w:val="000000"/>
          <w:sz w:val="26"/>
          <w:szCs w:val="26"/>
          <w:lang w:val="uz-Cyrl-UZ"/>
        </w:rPr>
        <w:t xml:space="preserve">O‘zbekiston Respublikasi Oliy ta’lim, fan va innovatsiyalar vazirligi 2025-yil 31-oktabr 02/61-07-656-son </w:t>
      </w:r>
      <w:r w:rsidR="00511B90" w:rsidRPr="00511B90">
        <w:rPr>
          <w:b/>
          <w:color w:val="000000"/>
          <w:sz w:val="26"/>
          <w:szCs w:val="26"/>
          <w:lang w:val="uz-Cyrl-UZ"/>
        </w:rPr>
        <w:t>xati ijrosi yuzasidan</w:t>
      </w:r>
    </w:p>
    <w:p w:rsidR="00FE355C" w:rsidRPr="00D20D1E" w:rsidRDefault="00FE355C" w:rsidP="006E4450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color w:val="000000"/>
          <w:sz w:val="26"/>
          <w:szCs w:val="26"/>
          <w:lang w:val="uz-Cyrl-UZ"/>
        </w:rPr>
      </w:pPr>
      <w:r w:rsidRPr="00D20D1E">
        <w:rPr>
          <w:b/>
          <w:color w:val="000000"/>
          <w:sz w:val="26"/>
          <w:szCs w:val="26"/>
          <w:lang w:val="uz-Cyrl-UZ"/>
        </w:rPr>
        <w:t xml:space="preserve"> </w:t>
      </w:r>
      <w:r w:rsidR="00511B90" w:rsidRPr="00511B90">
        <w:rPr>
          <w:b/>
          <w:color w:val="000000"/>
          <w:sz w:val="26"/>
          <w:szCs w:val="26"/>
          <w:lang w:val="uz-Cyrl-UZ"/>
        </w:rPr>
        <w:t>M</w:t>
      </w:r>
      <w:r w:rsidR="00511B90" w:rsidRPr="00D20D1E">
        <w:rPr>
          <w:b/>
          <w:color w:val="000000"/>
          <w:sz w:val="26"/>
          <w:szCs w:val="26"/>
          <w:lang w:val="uz-Cyrl-UZ"/>
        </w:rPr>
        <w:t>A’LUMOT</w:t>
      </w:r>
    </w:p>
    <w:p w:rsidR="00511B90" w:rsidRPr="00656F07" w:rsidRDefault="006E4450" w:rsidP="00511B9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D20D1E">
        <w:rPr>
          <w:b/>
          <w:color w:val="000000"/>
          <w:sz w:val="26"/>
          <w:szCs w:val="26"/>
          <w:lang w:val="uz-Cyrl-UZ"/>
        </w:rPr>
        <w:tab/>
      </w:r>
      <w:r w:rsidRPr="00656F07">
        <w:rPr>
          <w:color w:val="000000"/>
          <w:sz w:val="28"/>
          <w:szCs w:val="28"/>
          <w:lang w:val="uz-Cyrl-UZ"/>
        </w:rPr>
        <w:t>O‘zbekiston Respublikasi Vazirlar Mahkamasining “Oliy ta’lim tashkilotlarida tyutorlik faoliyatini tashkil etish tartibi to‘g‘risida</w:t>
      </w:r>
      <w:r w:rsidR="00511B90" w:rsidRPr="00656F07">
        <w:rPr>
          <w:color w:val="000000"/>
          <w:sz w:val="28"/>
          <w:szCs w:val="28"/>
          <w:lang w:val="uz-Cyrl-UZ"/>
        </w:rPr>
        <w:t>gi</w:t>
      </w:r>
      <w:r w:rsidRPr="00656F07">
        <w:rPr>
          <w:color w:val="000000"/>
          <w:sz w:val="28"/>
          <w:szCs w:val="28"/>
          <w:lang w:val="uz-Cyrl-UZ"/>
        </w:rPr>
        <w:t xml:space="preserve"> nizomni tasdiqlash haqida” 2025-yil 17-oktabrdagi 656-son qarori 2-ilovasi bilan tasdiqlangan chora-tadbirlar rejasining   </w:t>
      </w:r>
      <w:r w:rsidR="00511B90" w:rsidRPr="00656F07">
        <w:rPr>
          <w:color w:val="000000"/>
          <w:sz w:val="28"/>
          <w:szCs w:val="28"/>
          <w:lang w:val="uz-Cyrl-UZ"/>
        </w:rPr>
        <w:t xml:space="preserve">     11-bandig</w:t>
      </w:r>
      <w:r w:rsidRPr="00656F07">
        <w:rPr>
          <w:color w:val="000000"/>
          <w:sz w:val="28"/>
          <w:szCs w:val="28"/>
          <w:lang w:val="uz-Cyrl-UZ"/>
        </w:rPr>
        <w:t>a</w:t>
      </w:r>
      <w:r w:rsidR="00511B90" w:rsidRPr="00656F07">
        <w:rPr>
          <w:color w:val="000000"/>
          <w:sz w:val="28"/>
          <w:szCs w:val="28"/>
          <w:lang w:val="uz-Cyrl-UZ"/>
        </w:rPr>
        <w:t xml:space="preserve"> asosan</w:t>
      </w:r>
      <w:r w:rsidRPr="00656F07">
        <w:rPr>
          <w:color w:val="000000"/>
          <w:sz w:val="28"/>
          <w:szCs w:val="28"/>
          <w:lang w:val="uz-Cyrl-UZ"/>
        </w:rPr>
        <w:t xml:space="preserve"> </w:t>
      </w:r>
      <w:r w:rsidR="00C6673E" w:rsidRPr="00656F07">
        <w:rPr>
          <w:color w:val="000000"/>
          <w:sz w:val="28"/>
          <w:szCs w:val="28"/>
          <w:lang w:val="uz-Cyrl-UZ"/>
        </w:rPr>
        <w:t>Qarshi d</w:t>
      </w:r>
      <w:r w:rsidR="00D20D1E" w:rsidRPr="00656F07">
        <w:rPr>
          <w:color w:val="000000"/>
          <w:sz w:val="28"/>
          <w:szCs w:val="28"/>
          <w:lang w:val="uz-Cyrl-UZ"/>
        </w:rPr>
        <w:t>avlat universitetida tyutorlarni ishga qabul qilish jarayonini</w:t>
      </w:r>
      <w:r w:rsidR="00511B90" w:rsidRPr="00656F07">
        <w:rPr>
          <w:color w:val="000000"/>
          <w:sz w:val="28"/>
          <w:szCs w:val="28"/>
          <w:lang w:val="uz-Cyrl-UZ"/>
        </w:rPr>
        <w:t>ng shaffof tizimini joriy etilgan.</w:t>
      </w:r>
    </w:p>
    <w:p w:rsidR="00183392" w:rsidRPr="00656F07" w:rsidRDefault="00183392" w:rsidP="0018339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656F07">
        <w:rPr>
          <w:color w:val="000000"/>
          <w:sz w:val="28"/>
          <w:szCs w:val="28"/>
          <w:lang w:val="uz-Cyrl-UZ"/>
        </w:rPr>
        <w:t xml:space="preserve">Tyutorlarni </w:t>
      </w:r>
      <w:r w:rsidRPr="00656F07">
        <w:rPr>
          <w:color w:val="000000"/>
          <w:sz w:val="28"/>
          <w:szCs w:val="28"/>
          <w:lang w:val="uz-Cyrl-UZ"/>
        </w:rPr>
        <w:t>ishga qabul qilish va vazifasidan ozod etish jarayonida xolislikni taʼminlash, manfaatlar toʻqnashu</w:t>
      </w:r>
      <w:r w:rsidRPr="00656F07">
        <w:rPr>
          <w:color w:val="000000"/>
          <w:sz w:val="28"/>
          <w:szCs w:val="28"/>
          <w:lang w:val="uz-Cyrl-UZ"/>
        </w:rPr>
        <w:t xml:space="preserve">viga yoʻl qoʻymaslik maqsadida </w:t>
      </w:r>
      <w:r w:rsidRPr="00656F07">
        <w:rPr>
          <w:color w:val="000000"/>
          <w:sz w:val="28"/>
          <w:szCs w:val="28"/>
          <w:lang w:val="uz-Cyrl-UZ"/>
        </w:rPr>
        <w:t>O‘zbe</w:t>
      </w:r>
      <w:r w:rsidR="007044CD">
        <w:rPr>
          <w:color w:val="000000"/>
          <w:sz w:val="28"/>
          <w:szCs w:val="28"/>
          <w:lang w:val="uz-Cyrl-UZ"/>
        </w:rPr>
        <w:t>kiston Respublikasi MKning 121-</w:t>
      </w:r>
      <w:r w:rsidRPr="00656F07">
        <w:rPr>
          <w:color w:val="000000"/>
          <w:sz w:val="28"/>
          <w:szCs w:val="28"/>
          <w:lang w:val="uz-Cyrl-UZ"/>
        </w:rPr>
        <w:t xml:space="preserve">moddasi Vazirlar Mahkamasining 2024-yil </w:t>
      </w:r>
      <w:r w:rsidR="00116F25" w:rsidRPr="00116F25">
        <w:rPr>
          <w:color w:val="000000"/>
          <w:sz w:val="28"/>
          <w:szCs w:val="28"/>
          <w:lang w:val="uz-Cyrl-UZ"/>
        </w:rPr>
        <w:t xml:space="preserve">                            </w:t>
      </w:r>
      <w:r w:rsidR="00116F25" w:rsidRPr="00A10820">
        <w:rPr>
          <w:color w:val="000000"/>
          <w:sz w:val="28"/>
          <w:szCs w:val="28"/>
          <w:lang w:val="uz-Cyrl-UZ"/>
        </w:rPr>
        <w:t xml:space="preserve">  </w:t>
      </w:r>
      <w:r w:rsidRPr="00656F07">
        <w:rPr>
          <w:color w:val="000000"/>
          <w:sz w:val="28"/>
          <w:szCs w:val="28"/>
          <w:lang w:val="uz-Cyrl-UZ"/>
        </w:rPr>
        <w:t xml:space="preserve">14-noyabrdagi 758-son qarori hamda </w:t>
      </w:r>
      <w:r w:rsidRPr="00656F07">
        <w:rPr>
          <w:sz w:val="28"/>
          <w:szCs w:val="28"/>
          <w:lang w:val="uz-Cyrl-UZ"/>
        </w:rPr>
        <w:t xml:space="preserve">O‘zbekiston Respublikasi Vazirlar Mahkamasining 2021-yil 9-sentabrdagi “Respublika oliy ta’lim muassasalarida talabalarni turar-joy bilan qamrab olish darajasini oshirish chora-tadbirlari to‘g‘risida”gi 563-sonli qarori hamda Oliy va o‘rta maxsus ta’lim vazirning </w:t>
      </w:r>
      <w:r w:rsidR="007044CD" w:rsidRPr="007044CD">
        <w:rPr>
          <w:sz w:val="28"/>
          <w:szCs w:val="28"/>
          <w:lang w:val="uz-Cyrl-UZ"/>
        </w:rPr>
        <w:t xml:space="preserve">             </w:t>
      </w:r>
      <w:r w:rsidRPr="00656F07">
        <w:rPr>
          <w:sz w:val="28"/>
          <w:szCs w:val="28"/>
          <w:lang w:val="uz-Cyrl-UZ"/>
        </w:rPr>
        <w:t>2021-yil 30-sentabrdag</w:t>
      </w:r>
      <w:r w:rsidRPr="00656F07">
        <w:rPr>
          <w:sz w:val="28"/>
          <w:szCs w:val="28"/>
          <w:lang w:val="uz-Cyrl-UZ"/>
        </w:rPr>
        <w:t xml:space="preserve">i 412-sonli buyrug‘iga asosan </w:t>
      </w:r>
      <w:r w:rsidRPr="00656F07">
        <w:rPr>
          <w:sz w:val="28"/>
          <w:szCs w:val="28"/>
          <w:lang w:val="uz-Cyrl-UZ"/>
        </w:rPr>
        <w:t xml:space="preserve">“Qarshi davlat universitetida tyutorlik lavozimga hujjat topshirgan talabgorlar bilan suhbat o‘tkashish hamda ishga qabul qilish  bo‘yicha  ishchi guruh </w:t>
      </w:r>
      <w:r w:rsidRPr="00656F07">
        <w:rPr>
          <w:color w:val="000000"/>
          <w:sz w:val="28"/>
          <w:szCs w:val="28"/>
          <w:lang w:val="uz-Cyrl-UZ"/>
        </w:rPr>
        <w:t>hamda universitet rektorining 2022-yil 15-sentabrdagi 200 I sonli buyrug‘iga asosan Qarshi davlat universiteti huzurida Jamoatchilik kengashi faoliyati tashkil etilgan bo‘lib universite</w:t>
      </w:r>
      <w:r w:rsidR="00E05789" w:rsidRPr="00656F07">
        <w:rPr>
          <w:color w:val="000000"/>
          <w:sz w:val="28"/>
          <w:szCs w:val="28"/>
          <w:lang w:val="uz-Cyrl-UZ"/>
        </w:rPr>
        <w:t>t</w:t>
      </w:r>
      <w:r w:rsidRPr="00656F07">
        <w:rPr>
          <w:color w:val="000000"/>
          <w:sz w:val="28"/>
          <w:szCs w:val="28"/>
          <w:lang w:val="uz-Cyrl-UZ"/>
        </w:rPr>
        <w:t>ga ishga qabul qilinayotgan nomzodlar bilan suhbat o‘tkazish</w:t>
      </w:r>
      <w:r w:rsidR="00E05789" w:rsidRPr="00656F07">
        <w:rPr>
          <w:color w:val="000000"/>
          <w:sz w:val="28"/>
          <w:szCs w:val="28"/>
          <w:lang w:val="uz-Cyrl-UZ"/>
        </w:rPr>
        <w:t>,</w:t>
      </w:r>
      <w:r w:rsidRPr="00656F07">
        <w:rPr>
          <w:color w:val="000000"/>
          <w:sz w:val="28"/>
          <w:szCs w:val="28"/>
          <w:lang w:val="uz-Cyrl-UZ"/>
        </w:rPr>
        <w:t xml:space="preserve"> si</w:t>
      </w:r>
      <w:r w:rsidR="00E05789" w:rsidRPr="00656F07">
        <w:rPr>
          <w:color w:val="000000"/>
          <w:sz w:val="28"/>
          <w:szCs w:val="28"/>
          <w:lang w:val="uz-Cyrl-UZ"/>
        </w:rPr>
        <w:t xml:space="preserve">nov darslarini tashkil qilish </w:t>
      </w:r>
      <w:r w:rsidRPr="00656F07">
        <w:rPr>
          <w:color w:val="000000"/>
          <w:sz w:val="28"/>
          <w:szCs w:val="28"/>
          <w:lang w:val="uz-Cyrl-UZ"/>
        </w:rPr>
        <w:t>hamda ular taqdim etgan  hujjatlarni o‘rganish</w:t>
      </w:r>
      <w:r w:rsidR="007044CD" w:rsidRPr="007044CD">
        <w:rPr>
          <w:color w:val="000000"/>
          <w:sz w:val="28"/>
          <w:szCs w:val="28"/>
          <w:lang w:val="uz-Cyrl-UZ"/>
        </w:rPr>
        <w:t>,</w:t>
      </w:r>
      <w:r w:rsidRPr="00656F07">
        <w:rPr>
          <w:color w:val="000000"/>
          <w:sz w:val="28"/>
          <w:szCs w:val="28"/>
          <w:lang w:val="uz-Cyrl-UZ"/>
        </w:rPr>
        <w:t xml:space="preserve"> tanlash va saralash jamoatchilik nazoratini amalga oshirishning mustahkam mexanizmlarini rivojlantirish, ochiqlik, shaffoflikni ta’minlash hamda nomzodlarga qo‘yiladigan talablarni takomillashtirish  bo‘yicha doimiy ravishda ishchi guruh faoliyat ko‘rsatib kelmoqda. </w:t>
      </w:r>
    </w:p>
    <w:p w:rsidR="00183392" w:rsidRPr="00656F07" w:rsidRDefault="00E05789" w:rsidP="00444F6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656F07">
        <w:rPr>
          <w:color w:val="000000"/>
          <w:sz w:val="28"/>
          <w:szCs w:val="28"/>
          <w:lang w:val="uz-Cyrl-UZ"/>
        </w:rPr>
        <w:t xml:space="preserve">Universitetda  bo‘sh vakant ish o‘rinlari hamda  tanlovlar  to‘g‘risidagi ma’lumotlar matbuotda, ommaviy axborot vositalarida, universitetning ijtimoiy tarmoqlardagi sahifalarida </w:t>
      </w:r>
      <w:r w:rsidR="00444F62" w:rsidRPr="00656F07">
        <w:rPr>
          <w:sz w:val="28"/>
          <w:szCs w:val="28"/>
          <w:lang w:val="uz-Cyrl-UZ"/>
        </w:rPr>
        <w:t>(</w:t>
      </w:r>
      <w:hyperlink r:id="rId4" w:history="1">
        <w:r w:rsidR="00444F62" w:rsidRPr="00656F07">
          <w:rPr>
            <w:rStyle w:val="a4"/>
            <w:sz w:val="28"/>
            <w:szCs w:val="28"/>
            <w:lang w:val="uz-Cyrl-UZ"/>
          </w:rPr>
          <w:t>https://qarshidu.uz</w:t>
        </w:r>
      </w:hyperlink>
      <w:r w:rsidRPr="00656F07">
        <w:rPr>
          <w:sz w:val="28"/>
          <w:szCs w:val="28"/>
          <w:lang w:val="uz-Cyrl-UZ"/>
        </w:rPr>
        <w:t xml:space="preserve">) </w:t>
      </w:r>
      <w:r w:rsidRPr="00656F07">
        <w:rPr>
          <w:color w:val="000000"/>
          <w:sz w:val="28"/>
          <w:szCs w:val="28"/>
          <w:lang w:val="uz-Cyrl-UZ"/>
        </w:rPr>
        <w:t>orqali taqdim etib boriladi.</w:t>
      </w:r>
    </w:p>
    <w:p w:rsidR="00656F07" w:rsidRPr="00656F07" w:rsidRDefault="00656F07" w:rsidP="00656F0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656F07">
        <w:rPr>
          <w:color w:val="000000"/>
          <w:sz w:val="28"/>
          <w:szCs w:val="28"/>
          <w:lang w:val="uz-Cyrl-UZ"/>
        </w:rPr>
        <w:t xml:space="preserve">          Ishchi guruhning maqsad</w:t>
      </w:r>
      <w:r w:rsidR="007044CD">
        <w:rPr>
          <w:color w:val="000000"/>
          <w:sz w:val="28"/>
          <w:szCs w:val="28"/>
          <w:lang w:val="uz-Cyrl-UZ"/>
        </w:rPr>
        <w:t>i-</w:t>
      </w:r>
      <w:bookmarkStart w:id="0" w:name="_GoBack"/>
      <w:bookmarkEnd w:id="0"/>
      <w:r w:rsidRPr="00656F07">
        <w:rPr>
          <w:color w:val="000000"/>
          <w:sz w:val="28"/>
          <w:szCs w:val="28"/>
          <w:lang w:val="uz-Cyrl-UZ"/>
        </w:rPr>
        <w:t xml:space="preserve">universitetga zamonaviy talablarga javob beruvchi yuqori malakali, chuqur kasbiy ilm va mahoratga, ijodiy va ilmiy salohiyatga, yuksak axloqiy va ma’naviy sifatlarga ega bo‘lgan shaxslarni xolisona saralab olishdan iborat.    </w:t>
      </w:r>
    </w:p>
    <w:p w:rsidR="00656F07" w:rsidRPr="00656F07" w:rsidRDefault="00656F07" w:rsidP="00656F0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656F07">
        <w:rPr>
          <w:color w:val="000000"/>
          <w:sz w:val="28"/>
          <w:szCs w:val="28"/>
          <w:lang w:val="uz-Cyrl-UZ"/>
        </w:rPr>
        <w:t xml:space="preserve">Tanlov adolatlilik, xolislik, oshkoralik, shaffoflik va kollegiallik asosida amalga oshiriladi.      </w:t>
      </w:r>
    </w:p>
    <w:p w:rsidR="00D20D1E" w:rsidRPr="00656F07" w:rsidRDefault="00D20D1E" w:rsidP="00511B9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656F07">
        <w:rPr>
          <w:color w:val="000000"/>
          <w:sz w:val="28"/>
          <w:szCs w:val="28"/>
          <w:lang w:val="uz-Cyrl-UZ"/>
        </w:rPr>
        <w:t>Vazirlar Mahkamasining</w:t>
      </w:r>
      <w:r w:rsidR="00511B90" w:rsidRPr="00656F07">
        <w:rPr>
          <w:color w:val="000000"/>
          <w:sz w:val="28"/>
          <w:szCs w:val="28"/>
          <w:lang w:val="uz-Cyrl-UZ"/>
        </w:rPr>
        <w:t xml:space="preserve"> </w:t>
      </w:r>
      <w:r w:rsidRPr="00656F07">
        <w:rPr>
          <w:color w:val="000000"/>
          <w:sz w:val="28"/>
          <w:szCs w:val="28"/>
          <w:lang w:val="uz-Cyrl-UZ"/>
        </w:rPr>
        <w:t>2025-yil “17” oktabrdagi 656-son qaroriga 1-ilova</w:t>
      </w:r>
      <w:r w:rsidR="00511B90" w:rsidRPr="00656F07">
        <w:rPr>
          <w:color w:val="000000"/>
          <w:sz w:val="28"/>
          <w:szCs w:val="28"/>
          <w:lang w:val="uz-Cyrl-UZ"/>
        </w:rPr>
        <w:t xml:space="preserve">si bilan tasdiqlangan </w:t>
      </w:r>
      <w:r w:rsidRPr="00656F07">
        <w:rPr>
          <w:color w:val="000000"/>
          <w:sz w:val="28"/>
          <w:szCs w:val="28"/>
          <w:lang w:val="uz-Cyrl-UZ"/>
        </w:rPr>
        <w:t>Oliy ta’lim tashkilotlarida tyutorlik faoliyatini</w:t>
      </w:r>
      <w:r w:rsidR="00511B90" w:rsidRPr="00656F07">
        <w:rPr>
          <w:color w:val="000000"/>
          <w:sz w:val="28"/>
          <w:szCs w:val="28"/>
          <w:lang w:val="uz-Cyrl-UZ"/>
        </w:rPr>
        <w:t xml:space="preserve"> </w:t>
      </w:r>
      <w:r w:rsidR="00656F07" w:rsidRPr="00656F07">
        <w:rPr>
          <w:color w:val="000000"/>
          <w:sz w:val="28"/>
          <w:szCs w:val="28"/>
          <w:lang w:val="uz-Cyrl-UZ"/>
        </w:rPr>
        <w:t>t</w:t>
      </w:r>
      <w:r w:rsidRPr="00656F07">
        <w:rPr>
          <w:color w:val="000000"/>
          <w:sz w:val="28"/>
          <w:szCs w:val="28"/>
          <w:lang w:val="uz-Cyrl-UZ"/>
        </w:rPr>
        <w:t>ashkil etish tartibi to‘g‘risida</w:t>
      </w:r>
      <w:r w:rsidR="00511B90" w:rsidRPr="00656F07">
        <w:rPr>
          <w:color w:val="000000"/>
          <w:sz w:val="28"/>
          <w:szCs w:val="28"/>
          <w:lang w:val="uz-Cyrl-UZ"/>
        </w:rPr>
        <w:t>gi Nizom tala</w:t>
      </w:r>
      <w:r w:rsidR="00A30182" w:rsidRPr="00656F07">
        <w:rPr>
          <w:color w:val="000000"/>
          <w:sz w:val="28"/>
          <w:szCs w:val="28"/>
          <w:lang w:val="uz-Cyrl-UZ"/>
        </w:rPr>
        <w:t>blariga asosan ishga qabul qilish tartibi belgilangan.</w:t>
      </w:r>
    </w:p>
    <w:p w:rsidR="00D20D1E" w:rsidRPr="00656F07" w:rsidRDefault="00A30182" w:rsidP="00D20D1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656F07">
        <w:rPr>
          <w:color w:val="000000"/>
          <w:sz w:val="28"/>
          <w:szCs w:val="28"/>
          <w:lang w:val="uz-Cyrl-UZ"/>
        </w:rPr>
        <w:t>Ishga qabul qilinadigan t</w:t>
      </w:r>
      <w:r w:rsidR="00D20D1E" w:rsidRPr="00656F07">
        <w:rPr>
          <w:color w:val="000000"/>
          <w:sz w:val="28"/>
          <w:szCs w:val="28"/>
          <w:lang w:val="uz-Cyrl-UZ"/>
        </w:rPr>
        <w:t>yutorlarga nisbatan quyidagi malaka talablari qo‘yiladi</w:t>
      </w:r>
      <w:r w:rsidR="000E3B28" w:rsidRPr="00656F07">
        <w:rPr>
          <w:color w:val="000000"/>
          <w:sz w:val="28"/>
          <w:szCs w:val="28"/>
          <w:lang w:val="uz-Cyrl-UZ"/>
        </w:rPr>
        <w:t>:</w:t>
      </w:r>
    </w:p>
    <w:p w:rsidR="00D20D1E" w:rsidRPr="00656F07" w:rsidRDefault="00A30182" w:rsidP="000E3B2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z-Cyrl-UZ"/>
        </w:rPr>
      </w:pPr>
      <w:r w:rsidRPr="00656F07">
        <w:rPr>
          <w:color w:val="000000"/>
          <w:sz w:val="28"/>
          <w:szCs w:val="28"/>
          <w:lang w:val="uz-Cyrl-UZ"/>
        </w:rPr>
        <w:lastRenderedPageBreak/>
        <w:t xml:space="preserve">1. </w:t>
      </w:r>
      <w:r w:rsidR="000E3B28" w:rsidRPr="00656F07">
        <w:rPr>
          <w:color w:val="000000"/>
          <w:sz w:val="28"/>
          <w:szCs w:val="28"/>
          <w:lang w:val="uz-Cyrl-UZ"/>
        </w:rPr>
        <w:t>Oliy ma’lumotga (bakalavr) ega bo‘lish (ilmiy daraja va ilmiy unvonga ega shaxslarga afzalliklar beriladi);</w:t>
      </w:r>
    </w:p>
    <w:p w:rsidR="000E3B28" w:rsidRPr="00656F07" w:rsidRDefault="00A30182" w:rsidP="000E3B2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656F07">
        <w:rPr>
          <w:color w:val="000000"/>
          <w:sz w:val="28"/>
          <w:szCs w:val="28"/>
          <w:lang w:val="en-US"/>
        </w:rPr>
        <w:t xml:space="preserve">2. </w:t>
      </w:r>
      <w:r w:rsidR="000E3B28" w:rsidRPr="00656F07">
        <w:rPr>
          <w:color w:val="000000"/>
          <w:sz w:val="28"/>
          <w:szCs w:val="28"/>
          <w:lang w:val="en-US"/>
        </w:rPr>
        <w:t>Qonunchilik hujjatlariga muvofiq ta’lim berish huquqidan mahrum etilmagan bo‘lishi;</w:t>
      </w:r>
    </w:p>
    <w:p w:rsidR="000E3B28" w:rsidRPr="00656F07" w:rsidRDefault="00A30182" w:rsidP="000E3B2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656F07">
        <w:rPr>
          <w:color w:val="000000"/>
          <w:sz w:val="28"/>
          <w:szCs w:val="28"/>
          <w:lang w:val="en-US"/>
        </w:rPr>
        <w:t xml:space="preserve">3. </w:t>
      </w:r>
      <w:r w:rsidR="000E3B28" w:rsidRPr="00656F07">
        <w:rPr>
          <w:color w:val="000000"/>
          <w:sz w:val="28"/>
          <w:szCs w:val="28"/>
          <w:lang w:val="en-US"/>
        </w:rPr>
        <w:t>Ma’naviy-ma’rifiy va tarbiyaviy ishlar uslubiyoti va amaliyotini chuqur anglab yetgan, pedagogik-psixologik bilim va tajribaga ega bo‘lish;</w:t>
      </w:r>
    </w:p>
    <w:p w:rsidR="006801EE" w:rsidRPr="00656F07" w:rsidRDefault="00A30182" w:rsidP="000E3B2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656F07">
        <w:rPr>
          <w:color w:val="000000"/>
          <w:sz w:val="28"/>
          <w:szCs w:val="28"/>
          <w:lang w:val="en-US"/>
        </w:rPr>
        <w:t xml:space="preserve">4. </w:t>
      </w:r>
      <w:r w:rsidR="006801EE" w:rsidRPr="00656F07">
        <w:rPr>
          <w:color w:val="000000"/>
          <w:sz w:val="28"/>
          <w:szCs w:val="28"/>
          <w:lang w:val="en-US"/>
        </w:rPr>
        <w:t>Na</w:t>
      </w:r>
      <w:r w:rsidR="00BA1FC6">
        <w:rPr>
          <w:color w:val="000000"/>
          <w:sz w:val="28"/>
          <w:szCs w:val="28"/>
          <w:lang w:val="en-US"/>
        </w:rPr>
        <w:t>’</w:t>
      </w:r>
      <w:r w:rsidR="006801EE" w:rsidRPr="00656F07">
        <w:rPr>
          <w:color w:val="000000"/>
          <w:sz w:val="28"/>
          <w:szCs w:val="28"/>
          <w:lang w:val="en-US"/>
        </w:rPr>
        <w:t>munaviy shaxsiy fazilatlarga, shu jumladan, madaniyatli, mas’uliyatli, kirishuvchan, vatanparvar va tashabbuskor bo‘lish;</w:t>
      </w:r>
    </w:p>
    <w:p w:rsidR="006801EE" w:rsidRPr="00656F07" w:rsidRDefault="00A30182" w:rsidP="000E3B2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656F07">
        <w:rPr>
          <w:color w:val="000000"/>
          <w:sz w:val="28"/>
          <w:szCs w:val="28"/>
          <w:lang w:val="en-US"/>
        </w:rPr>
        <w:t xml:space="preserve">5. </w:t>
      </w:r>
      <w:r w:rsidR="00CC2BBC" w:rsidRPr="00656F07">
        <w:rPr>
          <w:color w:val="000000"/>
          <w:sz w:val="28"/>
          <w:szCs w:val="28"/>
          <w:lang w:val="en-US"/>
        </w:rPr>
        <w:t>Mustaqil qaror qabul qilish ko‘nikmalariga ega bo‘</w:t>
      </w:r>
      <w:r w:rsidR="00F53462" w:rsidRPr="00656F07">
        <w:rPr>
          <w:color w:val="000000"/>
          <w:sz w:val="28"/>
          <w:szCs w:val="28"/>
          <w:lang w:val="en-US"/>
        </w:rPr>
        <w:t>lish.</w:t>
      </w:r>
    </w:p>
    <w:p w:rsidR="00F53462" w:rsidRDefault="00A30182" w:rsidP="000E3B2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656F07">
        <w:rPr>
          <w:color w:val="000000"/>
          <w:sz w:val="28"/>
          <w:szCs w:val="28"/>
          <w:lang w:val="en-US"/>
        </w:rPr>
        <w:t xml:space="preserve">Mazkur </w:t>
      </w:r>
      <w:r w:rsidR="00F53462" w:rsidRPr="00656F07">
        <w:rPr>
          <w:color w:val="000000"/>
          <w:sz w:val="28"/>
          <w:szCs w:val="28"/>
          <w:lang w:val="en-US"/>
        </w:rPr>
        <w:t xml:space="preserve">belgilangan talablarga javob bermaydigan mutaxassislar tyutorlik lavozimiga </w:t>
      </w:r>
      <w:r w:rsidRPr="00656F07">
        <w:rPr>
          <w:color w:val="000000"/>
          <w:sz w:val="28"/>
          <w:szCs w:val="28"/>
          <w:lang w:val="en-US"/>
        </w:rPr>
        <w:t>qabul qilinmaydi</w:t>
      </w:r>
      <w:r w:rsidR="00F53462" w:rsidRPr="00656F07">
        <w:rPr>
          <w:color w:val="000000"/>
          <w:sz w:val="28"/>
          <w:szCs w:val="28"/>
          <w:lang w:val="en-US"/>
        </w:rPr>
        <w:t>.</w:t>
      </w:r>
    </w:p>
    <w:p w:rsidR="00FA1B8E" w:rsidRPr="00730A1B" w:rsidRDefault="00FA1B8E" w:rsidP="00730A1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Hozirgi vaqtda universitetda tyutorlik </w:t>
      </w:r>
      <w:r w:rsidR="00730A1B">
        <w:rPr>
          <w:color w:val="000000"/>
          <w:sz w:val="28"/>
          <w:szCs w:val="28"/>
          <w:lang w:val="en-US"/>
        </w:rPr>
        <w:t>lavozimi</w:t>
      </w:r>
      <w:r>
        <w:rPr>
          <w:color w:val="000000"/>
          <w:sz w:val="28"/>
          <w:szCs w:val="28"/>
          <w:lang w:val="en-US"/>
        </w:rPr>
        <w:t xml:space="preserve">ga vakant o‘rni mavjud emas. </w:t>
      </w:r>
      <w:r w:rsidR="00730A1B">
        <w:rPr>
          <w:color w:val="000000"/>
          <w:sz w:val="28"/>
          <w:szCs w:val="28"/>
          <w:lang w:val="en-US"/>
        </w:rPr>
        <w:t>Kelajakda t</w:t>
      </w:r>
      <w:r w:rsidR="00730A1B">
        <w:rPr>
          <w:color w:val="000000"/>
          <w:sz w:val="28"/>
          <w:szCs w:val="28"/>
          <w:lang w:val="en-US"/>
        </w:rPr>
        <w:t xml:space="preserve">yutorlik lavozimiga </w:t>
      </w:r>
      <w:r w:rsidR="00730A1B">
        <w:rPr>
          <w:color w:val="000000"/>
          <w:sz w:val="28"/>
          <w:szCs w:val="28"/>
          <w:lang w:val="en-US"/>
        </w:rPr>
        <w:t>bo‘sh ish</w:t>
      </w:r>
      <w:r w:rsidR="00730A1B">
        <w:rPr>
          <w:color w:val="000000"/>
          <w:sz w:val="28"/>
          <w:szCs w:val="28"/>
          <w:lang w:val="en-US"/>
        </w:rPr>
        <w:t xml:space="preserve"> o‘rni</w:t>
      </w:r>
      <w:r w:rsidR="00730A1B">
        <w:rPr>
          <w:color w:val="000000"/>
          <w:sz w:val="28"/>
          <w:szCs w:val="28"/>
          <w:lang w:val="en-US"/>
        </w:rPr>
        <w:t xml:space="preserve"> yuzaga kelganda universitetning rasmiy veb-sayti </w:t>
      </w:r>
      <w:r w:rsidR="00730A1B" w:rsidRPr="00656F07">
        <w:rPr>
          <w:sz w:val="28"/>
          <w:szCs w:val="28"/>
          <w:lang w:val="uz-Cyrl-UZ"/>
        </w:rPr>
        <w:t>(</w:t>
      </w:r>
      <w:hyperlink r:id="rId5" w:history="1">
        <w:r w:rsidR="00730A1B" w:rsidRPr="00656F07">
          <w:rPr>
            <w:rStyle w:val="a4"/>
            <w:sz w:val="28"/>
            <w:szCs w:val="28"/>
            <w:lang w:val="uz-Cyrl-UZ"/>
          </w:rPr>
          <w:t>https://qarshidu.uz</w:t>
        </w:r>
      </w:hyperlink>
      <w:r w:rsidR="00730A1B" w:rsidRPr="00656F07">
        <w:rPr>
          <w:sz w:val="28"/>
          <w:szCs w:val="28"/>
          <w:lang w:val="uz-Cyrl-UZ"/>
        </w:rPr>
        <w:t>)</w:t>
      </w:r>
      <w:r w:rsidR="00730A1B">
        <w:rPr>
          <w:sz w:val="28"/>
          <w:szCs w:val="28"/>
          <w:lang w:val="en-US"/>
        </w:rPr>
        <w:t xml:space="preserve"> orqali doimiy e’lon qilib boriladi.</w:t>
      </w:r>
    </w:p>
    <w:p w:rsidR="00604490" w:rsidRPr="00D20D1E" w:rsidRDefault="00604490" w:rsidP="00FE355C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color w:val="000000"/>
          <w:sz w:val="26"/>
          <w:szCs w:val="26"/>
          <w:lang w:val="en-US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FE355C" w:rsidRDefault="00FE355C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FE355C" w:rsidRDefault="00FE355C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FE355C" w:rsidRDefault="00FE355C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FE355C" w:rsidRDefault="00FE355C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604490" w:rsidRDefault="00604490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075081" w:rsidRPr="004871FD" w:rsidRDefault="00075081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075081" w:rsidRPr="004871FD" w:rsidRDefault="00075081" w:rsidP="0007508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  <w:lang w:val="uz-Cyrl-UZ"/>
        </w:rPr>
      </w:pPr>
    </w:p>
    <w:p w:rsidR="00075081" w:rsidRDefault="00075081" w:rsidP="00075081">
      <w:pPr>
        <w:spacing w:line="360" w:lineRule="auto"/>
        <w:ind w:firstLine="708"/>
        <w:jc w:val="both"/>
        <w:rPr>
          <w:bCs/>
          <w:color w:val="000000"/>
          <w:sz w:val="26"/>
          <w:szCs w:val="26"/>
          <w:lang w:val="uz-Cyrl-UZ"/>
        </w:rPr>
      </w:pPr>
    </w:p>
    <w:p w:rsidR="00075081" w:rsidRDefault="00075081" w:rsidP="00075081">
      <w:pPr>
        <w:spacing w:line="360" w:lineRule="auto"/>
        <w:ind w:firstLine="708"/>
        <w:jc w:val="both"/>
        <w:rPr>
          <w:bCs/>
          <w:color w:val="000000"/>
          <w:sz w:val="26"/>
          <w:szCs w:val="26"/>
          <w:lang w:val="uz-Cyrl-UZ"/>
        </w:rPr>
      </w:pPr>
    </w:p>
    <w:p w:rsidR="00075081" w:rsidRDefault="00075081" w:rsidP="00075081">
      <w:pPr>
        <w:ind w:hanging="709"/>
        <w:jc w:val="both"/>
        <w:rPr>
          <w:bCs/>
          <w:color w:val="000000"/>
          <w:sz w:val="18"/>
          <w:szCs w:val="18"/>
          <w:lang w:val="uz-Cyrl-UZ"/>
        </w:rPr>
      </w:pPr>
    </w:p>
    <w:p w:rsidR="00075081" w:rsidRDefault="00075081" w:rsidP="00075081">
      <w:pPr>
        <w:ind w:hanging="709"/>
        <w:jc w:val="both"/>
        <w:rPr>
          <w:bCs/>
          <w:color w:val="000000"/>
          <w:sz w:val="18"/>
          <w:szCs w:val="18"/>
          <w:lang w:val="uz-Cyrl-UZ"/>
        </w:rPr>
      </w:pPr>
    </w:p>
    <w:p w:rsidR="00075081" w:rsidRDefault="00075081" w:rsidP="00075081">
      <w:pPr>
        <w:ind w:hanging="709"/>
        <w:jc w:val="both"/>
        <w:rPr>
          <w:bCs/>
          <w:color w:val="000000"/>
          <w:sz w:val="18"/>
          <w:szCs w:val="18"/>
          <w:lang w:val="uz-Cyrl-UZ"/>
        </w:rPr>
      </w:pPr>
    </w:p>
    <w:p w:rsidR="00075081" w:rsidRDefault="00075081" w:rsidP="00075081">
      <w:pPr>
        <w:ind w:hanging="709"/>
        <w:jc w:val="both"/>
        <w:rPr>
          <w:bCs/>
          <w:color w:val="000000"/>
          <w:sz w:val="18"/>
          <w:szCs w:val="18"/>
          <w:lang w:val="uz-Cyrl-UZ"/>
        </w:rPr>
      </w:pPr>
    </w:p>
    <w:p w:rsidR="00075081" w:rsidRDefault="00075081" w:rsidP="00075081">
      <w:pPr>
        <w:ind w:hanging="709"/>
        <w:jc w:val="both"/>
        <w:rPr>
          <w:bCs/>
          <w:color w:val="000000"/>
          <w:sz w:val="18"/>
          <w:szCs w:val="18"/>
          <w:lang w:val="uz-Cyrl-UZ"/>
        </w:rPr>
      </w:pPr>
    </w:p>
    <w:p w:rsidR="00075081" w:rsidRDefault="00075081" w:rsidP="00075081">
      <w:pPr>
        <w:ind w:hanging="709"/>
        <w:jc w:val="both"/>
        <w:rPr>
          <w:bCs/>
          <w:color w:val="000000"/>
          <w:sz w:val="18"/>
          <w:szCs w:val="18"/>
          <w:lang w:val="uz-Cyrl-UZ"/>
        </w:rPr>
      </w:pPr>
    </w:p>
    <w:p w:rsidR="00075081" w:rsidRPr="00AB6441" w:rsidRDefault="00075081" w:rsidP="00075081">
      <w:pPr>
        <w:tabs>
          <w:tab w:val="left" w:pos="3318"/>
        </w:tabs>
        <w:rPr>
          <w:sz w:val="18"/>
          <w:szCs w:val="18"/>
          <w:lang w:val="uz-Cyrl-UZ"/>
        </w:rPr>
      </w:pPr>
    </w:p>
    <w:p w:rsidR="007330ED" w:rsidRPr="00075081" w:rsidRDefault="007330ED">
      <w:pPr>
        <w:rPr>
          <w:lang w:val="uz-Cyrl-UZ"/>
        </w:rPr>
      </w:pPr>
    </w:p>
    <w:sectPr w:rsidR="007330ED" w:rsidRPr="00075081" w:rsidSect="00BE5FAA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9F"/>
    <w:rsid w:val="00007AA7"/>
    <w:rsid w:val="00075081"/>
    <w:rsid w:val="000E3B28"/>
    <w:rsid w:val="00116F25"/>
    <w:rsid w:val="00183392"/>
    <w:rsid w:val="00240598"/>
    <w:rsid w:val="00444F62"/>
    <w:rsid w:val="00511B90"/>
    <w:rsid w:val="00604490"/>
    <w:rsid w:val="00656F07"/>
    <w:rsid w:val="006801EE"/>
    <w:rsid w:val="006D1705"/>
    <w:rsid w:val="006E4450"/>
    <w:rsid w:val="007044CD"/>
    <w:rsid w:val="00730A1B"/>
    <w:rsid w:val="007330ED"/>
    <w:rsid w:val="0076189F"/>
    <w:rsid w:val="00A10820"/>
    <w:rsid w:val="00A30182"/>
    <w:rsid w:val="00A34A4D"/>
    <w:rsid w:val="00A40F30"/>
    <w:rsid w:val="00BA1FC6"/>
    <w:rsid w:val="00BB782D"/>
    <w:rsid w:val="00C6673E"/>
    <w:rsid w:val="00CC2BBC"/>
    <w:rsid w:val="00D20D1E"/>
    <w:rsid w:val="00D6497F"/>
    <w:rsid w:val="00E05789"/>
    <w:rsid w:val="00F53462"/>
    <w:rsid w:val="00FA1B8E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8775"/>
  <w15:chartTrackingRefBased/>
  <w15:docId w15:val="{120C2884-413D-4C10-968B-D97B1E8D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1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arshidu.uz" TargetMode="External"/><Relationship Id="rId4" Type="http://schemas.openxmlformats.org/officeDocument/2006/relationships/hyperlink" Target="https://qarshidu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2025-11-27T07:14:00Z</dcterms:created>
  <dcterms:modified xsi:type="dcterms:W3CDTF">2025-11-27T07:43:00Z</dcterms:modified>
</cp:coreProperties>
</file>